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spacing w:after="240" w:before="240" w:lineRule="auto"/>
        <w:jc w:val="center"/>
        <w:rPr>
          <w:rFonts w:ascii="Montserrat" w:cs="Montserrat" w:eastAsia="Montserrat" w:hAnsi="Montserrat"/>
          <w:b w:val="1"/>
          <w:sz w:val="32"/>
          <w:szCs w:val="32"/>
        </w:rPr>
      </w:pPr>
      <w:r w:rsidDel="00000000" w:rsidR="00000000" w:rsidRPr="00000000">
        <w:rPr>
          <w:rFonts w:ascii="Montserrat" w:cs="Montserrat" w:eastAsia="Montserrat" w:hAnsi="Montserrat"/>
          <w:b w:val="1"/>
          <w:sz w:val="32"/>
          <w:szCs w:val="32"/>
          <w:rtl w:val="0"/>
        </w:rPr>
        <w:t xml:space="preserve">Velocidad, instinto y tecnología: los nuevos Pitch Viper llevan la agresividad al campo</w:t>
      </w:r>
    </w:p>
    <w:p w:rsidR="00000000" w:rsidDel="00000000" w:rsidP="00000000" w:rsidRDefault="00000000" w:rsidRPr="00000000" w14:paraId="00000002">
      <w:pPr>
        <w:jc w:val="both"/>
        <w:rPr>
          <w:rFonts w:ascii="Montserrat" w:cs="Montserrat" w:eastAsia="Montserrat" w:hAnsi="Montserrat"/>
          <w:b w:val="1"/>
          <w:sz w:val="32"/>
          <w:szCs w:val="32"/>
        </w:rPr>
      </w:pPr>
      <w:r w:rsidDel="00000000" w:rsidR="00000000" w:rsidRPr="00000000">
        <w:rPr>
          <w:rtl w:val="0"/>
        </w:rPr>
      </w:r>
    </w:p>
    <w:p w:rsidR="00000000" w:rsidDel="00000000" w:rsidP="00000000" w:rsidRDefault="00000000" w:rsidRPr="00000000" w14:paraId="00000003">
      <w:pPr>
        <w:jc w:val="both"/>
        <w:rPr>
          <w:rFonts w:ascii="Montserrat" w:cs="Montserrat" w:eastAsia="Montserrat" w:hAnsi="Montserrat"/>
          <w:b w:val="1"/>
          <w:sz w:val="20"/>
          <w:szCs w:val="20"/>
        </w:rPr>
      </w:pPr>
      <w:r w:rsidDel="00000000" w:rsidR="00000000" w:rsidRPr="00000000">
        <w:rPr>
          <w:rFonts w:ascii="Montserrat" w:cs="Montserrat" w:eastAsia="Montserrat" w:hAnsi="Montserrat"/>
          <w:b w:val="1"/>
          <w:sz w:val="20"/>
          <w:szCs w:val="20"/>
          <w:rtl w:val="0"/>
        </w:rPr>
        <w:t xml:space="preserve">Ciudad de México, a</w:t>
      </w:r>
      <w:r w:rsidDel="00000000" w:rsidR="00000000" w:rsidRPr="00000000">
        <w:rPr>
          <w:rFonts w:ascii="Montserrat" w:cs="Montserrat" w:eastAsia="Montserrat" w:hAnsi="Montserrat"/>
          <w:b w:val="1"/>
          <w:sz w:val="20"/>
          <w:szCs w:val="20"/>
          <w:rtl w:val="0"/>
        </w:rPr>
        <w:t xml:space="preserve"> 03 de abril de 2025</w:t>
      </w:r>
      <w:r w:rsidDel="00000000" w:rsidR="00000000" w:rsidRPr="00000000">
        <w:rPr>
          <w:rFonts w:ascii="Montserrat" w:cs="Montserrat" w:eastAsia="Montserrat" w:hAnsi="Montserrat"/>
          <w:sz w:val="20"/>
          <w:szCs w:val="20"/>
          <w:rtl w:val="0"/>
        </w:rPr>
        <w:t xml:space="preserve"> </w:t>
      </w:r>
      <w:r w:rsidDel="00000000" w:rsidR="00000000" w:rsidRPr="00000000">
        <w:rPr>
          <w:rFonts w:ascii="Montserrat" w:cs="Montserrat" w:eastAsia="Montserrat" w:hAnsi="Montserrat"/>
          <w:b w:val="1"/>
          <w:sz w:val="20"/>
          <w:szCs w:val="20"/>
          <w:rtl w:val="0"/>
        </w:rPr>
        <w:t xml:space="preserve">-</w:t>
      </w:r>
      <w:r w:rsidDel="00000000" w:rsidR="00000000" w:rsidRPr="00000000">
        <w:rPr>
          <w:rFonts w:ascii="Montserrat" w:cs="Montserrat" w:eastAsia="Montserrat" w:hAnsi="Montserrat"/>
          <w:sz w:val="20"/>
          <w:szCs w:val="20"/>
          <w:rtl w:val="0"/>
        </w:rPr>
        <w:t xml:space="preserve"> Under Armour redefine el juego con el lanzamiento de </w:t>
      </w:r>
      <w:r w:rsidDel="00000000" w:rsidR="00000000" w:rsidRPr="00000000">
        <w:rPr>
          <w:rFonts w:ascii="Montserrat" w:cs="Montserrat" w:eastAsia="Montserrat" w:hAnsi="Montserrat"/>
          <w:b w:val="1"/>
          <w:sz w:val="20"/>
          <w:szCs w:val="20"/>
          <w:rtl w:val="0"/>
        </w:rPr>
        <w:t xml:space="preserve">‘Pitch Viper’</w:t>
      </w:r>
      <w:r w:rsidDel="00000000" w:rsidR="00000000" w:rsidRPr="00000000">
        <w:rPr>
          <w:rFonts w:ascii="Montserrat" w:cs="Montserrat" w:eastAsia="Montserrat" w:hAnsi="Montserrat"/>
          <w:sz w:val="20"/>
          <w:szCs w:val="20"/>
          <w:rtl w:val="0"/>
        </w:rPr>
        <w:t xml:space="preserve">, una edición limitada de tacos de alto rendimiento que combinan velocidad, agresividad y tecnología en un diseño inspirado en la naturaleza. Con solo </w:t>
      </w:r>
      <w:r w:rsidDel="00000000" w:rsidR="00000000" w:rsidRPr="00000000">
        <w:rPr>
          <w:rFonts w:ascii="Montserrat" w:cs="Montserrat" w:eastAsia="Montserrat" w:hAnsi="Montserrat"/>
          <w:b w:val="1"/>
          <w:sz w:val="20"/>
          <w:szCs w:val="20"/>
          <w:rtl w:val="0"/>
        </w:rPr>
        <w:t xml:space="preserve">1,200 unidades</w:t>
      </w:r>
      <w:r w:rsidDel="00000000" w:rsidR="00000000" w:rsidRPr="00000000">
        <w:rPr>
          <w:rFonts w:ascii="Montserrat" w:cs="Montserrat" w:eastAsia="Montserrat" w:hAnsi="Montserrat"/>
          <w:sz w:val="20"/>
          <w:szCs w:val="20"/>
          <w:rtl w:val="0"/>
        </w:rPr>
        <w:t xml:space="preserve"> disponibles a nivel mundial, este calzado está diseñado para jugadores capaces de cambiar el rumbo de un partido en una fracción de segundo.</w:t>
      </w:r>
      <w:r w:rsidDel="00000000" w:rsidR="00000000" w:rsidRPr="00000000">
        <w:rPr>
          <w:rtl w:val="0"/>
        </w:rPr>
      </w:r>
    </w:p>
    <w:p w:rsidR="00000000" w:rsidDel="00000000" w:rsidP="00000000" w:rsidRDefault="00000000" w:rsidRPr="00000000" w14:paraId="00000004">
      <w:pPr>
        <w:spacing w:after="240" w:before="240" w:lineRule="auto"/>
        <w:jc w:val="center"/>
        <w:rPr>
          <w:rFonts w:ascii="Montserrat" w:cs="Montserrat" w:eastAsia="Montserrat" w:hAnsi="Montserrat"/>
          <w:b w:val="1"/>
          <w:sz w:val="30"/>
          <w:szCs w:val="30"/>
        </w:rPr>
      </w:pPr>
      <w:r w:rsidDel="00000000" w:rsidR="00000000" w:rsidRPr="00000000">
        <w:rPr>
          <w:rFonts w:ascii="Montserrat" w:cs="Montserrat" w:eastAsia="Montserrat" w:hAnsi="Montserrat"/>
          <w:b w:val="1"/>
          <w:sz w:val="30"/>
          <w:szCs w:val="30"/>
        </w:rPr>
        <w:drawing>
          <wp:inline distB="114300" distT="114300" distL="114300" distR="114300">
            <wp:extent cx="1539097" cy="1758968"/>
            <wp:effectExtent b="0" l="0" r="0" t="0"/>
            <wp:docPr id="6" name="image7.jpg"/>
            <a:graphic>
              <a:graphicData uri="http://schemas.openxmlformats.org/drawingml/2006/picture">
                <pic:pic>
                  <pic:nvPicPr>
                    <pic:cNvPr id="0" name="image7.jpg"/>
                    <pic:cNvPicPr preferRelativeResize="0"/>
                  </pic:nvPicPr>
                  <pic:blipFill>
                    <a:blip r:embed="rId6"/>
                    <a:srcRect b="10364" l="0" r="0" t="13329"/>
                    <a:stretch>
                      <a:fillRect/>
                    </a:stretch>
                  </pic:blipFill>
                  <pic:spPr>
                    <a:xfrm>
                      <a:off x="0" y="0"/>
                      <a:ext cx="1539097" cy="1758968"/>
                    </a:xfrm>
                    <a:prstGeom prst="rect"/>
                    <a:ln/>
                  </pic:spPr>
                </pic:pic>
              </a:graphicData>
            </a:graphic>
          </wp:inline>
        </w:drawing>
      </w:r>
      <w:r w:rsidDel="00000000" w:rsidR="00000000" w:rsidRPr="00000000">
        <w:rPr>
          <w:rFonts w:ascii="Montserrat" w:cs="Montserrat" w:eastAsia="Montserrat" w:hAnsi="Montserrat"/>
          <w:b w:val="1"/>
          <w:sz w:val="30"/>
          <w:szCs w:val="30"/>
        </w:rPr>
        <w:drawing>
          <wp:inline distB="114300" distT="114300" distL="114300" distR="114300">
            <wp:extent cx="1425412" cy="1759647"/>
            <wp:effectExtent b="0" l="0" r="0" t="0"/>
            <wp:docPr id="4" name="image4.jpg"/>
            <a:graphic>
              <a:graphicData uri="http://schemas.openxmlformats.org/drawingml/2006/picture">
                <pic:pic>
                  <pic:nvPicPr>
                    <pic:cNvPr id="0" name="image4.jpg"/>
                    <pic:cNvPicPr preferRelativeResize="0"/>
                  </pic:nvPicPr>
                  <pic:blipFill>
                    <a:blip r:embed="rId7"/>
                    <a:srcRect b="7865" l="0" r="0" t="9935"/>
                    <a:stretch>
                      <a:fillRect/>
                    </a:stretch>
                  </pic:blipFill>
                  <pic:spPr>
                    <a:xfrm>
                      <a:off x="0" y="0"/>
                      <a:ext cx="1425412" cy="1759647"/>
                    </a:xfrm>
                    <a:prstGeom prst="rect"/>
                    <a:ln/>
                  </pic:spPr>
                </pic:pic>
              </a:graphicData>
            </a:graphic>
          </wp:inline>
        </w:drawing>
      </w:r>
      <w:r w:rsidDel="00000000" w:rsidR="00000000" w:rsidRPr="00000000">
        <w:rPr>
          <w:rFonts w:ascii="Montserrat" w:cs="Montserrat" w:eastAsia="Montserrat" w:hAnsi="Montserrat"/>
          <w:b w:val="1"/>
          <w:sz w:val="30"/>
          <w:szCs w:val="30"/>
        </w:rPr>
        <w:drawing>
          <wp:inline distB="114300" distT="114300" distL="114300" distR="114300">
            <wp:extent cx="1641703" cy="1758968"/>
            <wp:effectExtent b="0" l="0" r="0" t="0"/>
            <wp:docPr id="7" name="image6.jpg"/>
            <a:graphic>
              <a:graphicData uri="http://schemas.openxmlformats.org/drawingml/2006/picture">
                <pic:pic>
                  <pic:nvPicPr>
                    <pic:cNvPr id="0" name="image6.jpg"/>
                    <pic:cNvPicPr preferRelativeResize="0"/>
                  </pic:nvPicPr>
                  <pic:blipFill>
                    <a:blip r:embed="rId8"/>
                    <a:srcRect b="12135" l="0" r="0" t="15765"/>
                    <a:stretch>
                      <a:fillRect/>
                    </a:stretch>
                  </pic:blipFill>
                  <pic:spPr>
                    <a:xfrm>
                      <a:off x="0" y="0"/>
                      <a:ext cx="1641703" cy="1758968"/>
                    </a:xfrm>
                    <a:prstGeom prst="rect"/>
                    <a:ln/>
                  </pic:spPr>
                </pic:pic>
              </a:graphicData>
            </a:graphic>
          </wp:inline>
        </w:drawing>
      </w:r>
      <w:r w:rsidDel="00000000" w:rsidR="00000000" w:rsidRPr="00000000">
        <w:rPr>
          <w:rtl w:val="0"/>
        </w:rPr>
      </w:r>
    </w:p>
    <w:p w:rsidR="00000000" w:rsidDel="00000000" w:rsidP="00000000" w:rsidRDefault="00000000" w:rsidRPr="00000000" w14:paraId="00000005">
      <w:pPr>
        <w:spacing w:after="240" w:before="240"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Inspirado en la víbora de foseta, una de las serpientes más letales y precisas del mundo, el </w:t>
      </w:r>
      <w:r w:rsidDel="00000000" w:rsidR="00000000" w:rsidRPr="00000000">
        <w:rPr>
          <w:rFonts w:ascii="Montserrat" w:cs="Montserrat" w:eastAsia="Montserrat" w:hAnsi="Montserrat"/>
          <w:b w:val="1"/>
          <w:sz w:val="20"/>
          <w:szCs w:val="20"/>
          <w:rtl w:val="0"/>
        </w:rPr>
        <w:t xml:space="preserve">‘Pitch Viper’</w:t>
      </w:r>
      <w:r w:rsidDel="00000000" w:rsidR="00000000" w:rsidRPr="00000000">
        <w:rPr>
          <w:rFonts w:ascii="Montserrat" w:cs="Montserrat" w:eastAsia="Montserrat" w:hAnsi="Montserrat"/>
          <w:sz w:val="20"/>
          <w:szCs w:val="20"/>
          <w:rtl w:val="0"/>
        </w:rPr>
        <w:t xml:space="preserve"> traslada su esencia al fútbol con un diseño impactante que simula la textura iridiscente de su piel. La combinación de colores </w:t>
      </w:r>
      <w:r w:rsidDel="00000000" w:rsidR="00000000" w:rsidRPr="00000000">
        <w:rPr>
          <w:rFonts w:ascii="Montserrat" w:cs="Montserrat" w:eastAsia="Montserrat" w:hAnsi="Montserrat"/>
          <w:b w:val="1"/>
          <w:sz w:val="20"/>
          <w:szCs w:val="20"/>
          <w:rtl w:val="0"/>
        </w:rPr>
        <w:t xml:space="preserve">‘Aero Pink/Rebel Pink/Metallic Silver’</w:t>
      </w:r>
      <w:r w:rsidDel="00000000" w:rsidR="00000000" w:rsidRPr="00000000">
        <w:rPr>
          <w:rFonts w:ascii="Montserrat" w:cs="Montserrat" w:eastAsia="Montserrat" w:hAnsi="Montserrat"/>
          <w:sz w:val="20"/>
          <w:szCs w:val="20"/>
          <w:rtl w:val="0"/>
        </w:rPr>
        <w:t xml:space="preserve"> refuerza su carácter audaz y peligroso, mientras que en el interior del botín, un gráfico en rosa vibrante muestra una víbora de foseta enroscada alrededor del icónico logo de Under Armour, añadiendo un sello distintivo.</w:t>
      </w:r>
    </w:p>
    <w:p w:rsidR="00000000" w:rsidDel="00000000" w:rsidP="00000000" w:rsidRDefault="00000000" w:rsidRPr="00000000" w14:paraId="00000006">
      <w:pPr>
        <w:spacing w:after="240" w:before="240"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A nivel técnico, el </w:t>
      </w:r>
      <w:r w:rsidDel="00000000" w:rsidR="00000000" w:rsidRPr="00000000">
        <w:rPr>
          <w:rFonts w:ascii="Montserrat" w:cs="Montserrat" w:eastAsia="Montserrat" w:hAnsi="Montserrat"/>
          <w:b w:val="1"/>
          <w:sz w:val="20"/>
          <w:szCs w:val="20"/>
          <w:rtl w:val="0"/>
        </w:rPr>
        <w:t xml:space="preserve">‘Pitch Viper’</w:t>
      </w:r>
      <w:r w:rsidDel="00000000" w:rsidR="00000000" w:rsidRPr="00000000">
        <w:rPr>
          <w:rFonts w:ascii="Montserrat" w:cs="Montserrat" w:eastAsia="Montserrat" w:hAnsi="Montserrat"/>
          <w:sz w:val="20"/>
          <w:szCs w:val="20"/>
          <w:rtl w:val="0"/>
        </w:rPr>
        <w:t xml:space="preserve"> ha sido diseñado para potenciar la explosividad y la estabilidad de los jugadores más rápidos. Su suela con tracción de zona reactiva permite cambios de dirección instantáneos, mientras que la talonera, con una nueva silueta, reduce la presión sobre el tendón de Aquiles, brindando mayor comodidad en el juego. Además, la tecnología NeverWet recubre el calzado para repeler líquidos y garantizar un desempeño óptimo en cualquier condición.</w:t>
      </w:r>
    </w:p>
    <w:p w:rsidR="00000000" w:rsidDel="00000000" w:rsidP="00000000" w:rsidRDefault="00000000" w:rsidRPr="00000000" w14:paraId="00000007">
      <w:pPr>
        <w:spacing w:after="240" w:before="240" w:lineRule="auto"/>
        <w:jc w:val="both"/>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008">
      <w:pPr>
        <w:spacing w:after="240" w:before="240"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Pr>
        <w:drawing>
          <wp:inline distB="114300" distT="114300" distL="114300" distR="114300">
            <wp:extent cx="1888127" cy="1896788"/>
            <wp:effectExtent b="0" l="0" r="0" t="0"/>
            <wp:docPr id="2" name="image5.jpg"/>
            <a:graphic>
              <a:graphicData uri="http://schemas.openxmlformats.org/drawingml/2006/picture">
                <pic:pic>
                  <pic:nvPicPr>
                    <pic:cNvPr id="0" name="image5.jpg"/>
                    <pic:cNvPicPr preferRelativeResize="0"/>
                  </pic:nvPicPr>
                  <pic:blipFill>
                    <a:blip r:embed="rId9"/>
                    <a:srcRect b="16009" l="0" r="0" t="16208"/>
                    <a:stretch>
                      <a:fillRect/>
                    </a:stretch>
                  </pic:blipFill>
                  <pic:spPr>
                    <a:xfrm>
                      <a:off x="0" y="0"/>
                      <a:ext cx="1888127" cy="1896788"/>
                    </a:xfrm>
                    <a:prstGeom prst="rect"/>
                    <a:ln/>
                  </pic:spPr>
                </pic:pic>
              </a:graphicData>
            </a:graphic>
          </wp:inline>
        </w:drawing>
      </w:r>
      <w:r w:rsidDel="00000000" w:rsidR="00000000" w:rsidRPr="00000000">
        <w:rPr>
          <w:rFonts w:ascii="Montserrat" w:cs="Montserrat" w:eastAsia="Montserrat" w:hAnsi="Montserrat"/>
          <w:sz w:val="20"/>
          <w:szCs w:val="20"/>
        </w:rPr>
        <w:drawing>
          <wp:inline distB="114300" distT="114300" distL="114300" distR="114300">
            <wp:extent cx="1271588" cy="1885756"/>
            <wp:effectExtent b="0" l="0" r="0" t="0"/>
            <wp:docPr id="3" name="image2.jpg"/>
            <a:graphic>
              <a:graphicData uri="http://schemas.openxmlformats.org/drawingml/2006/picture">
                <pic:pic>
                  <pic:nvPicPr>
                    <pic:cNvPr id="0" name="image2.jpg"/>
                    <pic:cNvPicPr preferRelativeResize="0"/>
                  </pic:nvPicPr>
                  <pic:blipFill>
                    <a:blip r:embed="rId10"/>
                    <a:srcRect b="0" l="0" r="0" t="0"/>
                    <a:stretch>
                      <a:fillRect/>
                    </a:stretch>
                  </pic:blipFill>
                  <pic:spPr>
                    <a:xfrm>
                      <a:off x="0" y="0"/>
                      <a:ext cx="1271588" cy="1885756"/>
                    </a:xfrm>
                    <a:prstGeom prst="rect"/>
                    <a:ln/>
                  </pic:spPr>
                </pic:pic>
              </a:graphicData>
            </a:graphic>
          </wp:inline>
        </w:drawing>
      </w:r>
      <w:r w:rsidDel="00000000" w:rsidR="00000000" w:rsidRPr="00000000">
        <w:rPr>
          <w:rFonts w:ascii="Montserrat" w:cs="Montserrat" w:eastAsia="Montserrat" w:hAnsi="Montserrat"/>
          <w:sz w:val="20"/>
          <w:szCs w:val="20"/>
        </w:rPr>
        <w:drawing>
          <wp:inline distB="114300" distT="114300" distL="114300" distR="114300">
            <wp:extent cx="2052638" cy="1891087"/>
            <wp:effectExtent b="0" l="0" r="0" t="0"/>
            <wp:docPr id="5" name="image3.jpg"/>
            <a:graphic>
              <a:graphicData uri="http://schemas.openxmlformats.org/drawingml/2006/picture">
                <pic:pic>
                  <pic:nvPicPr>
                    <pic:cNvPr id="0" name="image3.jpg"/>
                    <pic:cNvPicPr preferRelativeResize="0"/>
                  </pic:nvPicPr>
                  <pic:blipFill>
                    <a:blip r:embed="rId11"/>
                    <a:srcRect b="18320" l="0" r="0" t="19940"/>
                    <a:stretch>
                      <a:fillRect/>
                    </a:stretch>
                  </pic:blipFill>
                  <pic:spPr>
                    <a:xfrm>
                      <a:off x="0" y="0"/>
                      <a:ext cx="2052638" cy="1891087"/>
                    </a:xfrm>
                    <a:prstGeom prst="rect"/>
                    <a:ln/>
                  </pic:spPr>
                </pic:pic>
              </a:graphicData>
            </a:graphic>
          </wp:inline>
        </w:drawing>
      </w:r>
      <w:r w:rsidDel="00000000" w:rsidR="00000000" w:rsidRPr="00000000">
        <w:rPr>
          <w:rtl w:val="0"/>
        </w:rPr>
      </w:r>
    </w:p>
    <w:p w:rsidR="00000000" w:rsidDel="00000000" w:rsidP="00000000" w:rsidRDefault="00000000" w:rsidRPr="00000000" w14:paraId="00000009">
      <w:pPr>
        <w:spacing w:after="240" w:before="240"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Figuras como </w:t>
      </w:r>
      <w:r w:rsidDel="00000000" w:rsidR="00000000" w:rsidRPr="00000000">
        <w:rPr>
          <w:rFonts w:ascii="Montserrat" w:cs="Montserrat" w:eastAsia="Montserrat" w:hAnsi="Montserrat"/>
          <w:b w:val="1"/>
          <w:sz w:val="20"/>
          <w:szCs w:val="20"/>
          <w:rtl w:val="0"/>
        </w:rPr>
        <w:t xml:space="preserve">Laura Freigang y Fermín López</w:t>
      </w:r>
      <w:r w:rsidDel="00000000" w:rsidR="00000000" w:rsidRPr="00000000">
        <w:rPr>
          <w:rFonts w:ascii="Montserrat" w:cs="Montserrat" w:eastAsia="Montserrat" w:hAnsi="Montserrat"/>
          <w:sz w:val="20"/>
          <w:szCs w:val="20"/>
          <w:rtl w:val="0"/>
        </w:rPr>
        <w:t xml:space="preserve"> serán los embajadores de esta edición, reflejando con su estilo de juego la rapidez, inteligencia táctica y precisión que definen al </w:t>
      </w:r>
      <w:r w:rsidDel="00000000" w:rsidR="00000000" w:rsidRPr="00000000">
        <w:rPr>
          <w:rFonts w:ascii="Montserrat" w:cs="Montserrat" w:eastAsia="Montserrat" w:hAnsi="Montserrat"/>
          <w:b w:val="1"/>
          <w:sz w:val="20"/>
          <w:szCs w:val="20"/>
          <w:rtl w:val="0"/>
        </w:rPr>
        <w:t xml:space="preserve">‘Pitch Viper’</w:t>
      </w:r>
      <w:r w:rsidDel="00000000" w:rsidR="00000000" w:rsidRPr="00000000">
        <w:rPr>
          <w:rFonts w:ascii="Montserrat" w:cs="Montserrat" w:eastAsia="Montserrat" w:hAnsi="Montserrat"/>
          <w:sz w:val="20"/>
          <w:szCs w:val="20"/>
          <w:rtl w:val="0"/>
        </w:rPr>
        <w:t xml:space="preserve">. Diseñado para quienes buscan destacar con una combinación letal de estilo y rendimiento, este lanzamiento consolida el compromiso de Under Armour con la innovación deportiva.</w:t>
      </w:r>
    </w:p>
    <w:p w:rsidR="00000000" w:rsidDel="00000000" w:rsidP="00000000" w:rsidRDefault="00000000" w:rsidRPr="00000000" w14:paraId="0000000A">
      <w:pPr>
        <w:jc w:val="center"/>
        <w:rPr>
          <w:rFonts w:ascii="Montserrat" w:cs="Montserrat" w:eastAsia="Montserrat" w:hAnsi="Montserrat"/>
          <w:b w:val="1"/>
          <w:sz w:val="32"/>
          <w:szCs w:val="32"/>
        </w:rPr>
      </w:pPr>
      <w:r w:rsidDel="00000000" w:rsidR="00000000" w:rsidRPr="00000000">
        <w:rPr>
          <w:rFonts w:ascii="Montserrat" w:cs="Montserrat" w:eastAsia="Montserrat" w:hAnsi="Montserrat"/>
          <w:b w:val="1"/>
          <w:sz w:val="32"/>
          <w:szCs w:val="32"/>
          <w:rtl w:val="0"/>
        </w:rPr>
        <w:t xml:space="preserve">…</w:t>
      </w:r>
    </w:p>
    <w:p w:rsidR="00000000" w:rsidDel="00000000" w:rsidP="00000000" w:rsidRDefault="00000000" w:rsidRPr="00000000" w14:paraId="0000000B">
      <w:pPr>
        <w:jc w:val="center"/>
        <w:rPr>
          <w:rFonts w:ascii="Montserrat" w:cs="Montserrat" w:eastAsia="Montserrat" w:hAnsi="Montserrat"/>
          <w:b w:val="1"/>
          <w:sz w:val="32"/>
          <w:szCs w:val="32"/>
        </w:rPr>
      </w:pPr>
      <w:r w:rsidDel="00000000" w:rsidR="00000000" w:rsidRPr="00000000">
        <w:rPr>
          <w:rtl w:val="0"/>
        </w:rPr>
      </w:r>
    </w:p>
    <w:p w:rsidR="00000000" w:rsidDel="00000000" w:rsidP="00000000" w:rsidRDefault="00000000" w:rsidRPr="00000000" w14:paraId="0000000C">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0D">
      <w:pPr>
        <w:jc w:val="both"/>
        <w:rPr>
          <w:rFonts w:ascii="Montserrat" w:cs="Montserrat" w:eastAsia="Montserrat" w:hAnsi="Montserrat"/>
          <w:i w:val="1"/>
          <w:sz w:val="18"/>
          <w:szCs w:val="18"/>
        </w:rPr>
      </w:pPr>
      <w:r w:rsidDel="00000000" w:rsidR="00000000" w:rsidRPr="00000000">
        <w:rPr>
          <w:rFonts w:ascii="Montserrat" w:cs="Montserrat" w:eastAsia="Montserrat" w:hAnsi="Montserrat"/>
          <w:i w:val="1"/>
          <w:sz w:val="18"/>
          <w:szCs w:val="18"/>
          <w:rtl w:val="0"/>
        </w:rPr>
        <w:t xml:space="preserve">Sobre Under Armour</w:t>
      </w:r>
      <w:r w:rsidDel="00000000" w:rsidR="00000000" w:rsidRPr="00000000">
        <w:rPr>
          <w:rtl w:val="0"/>
        </w:rPr>
      </w:r>
    </w:p>
    <w:p w:rsidR="00000000" w:rsidDel="00000000" w:rsidP="00000000" w:rsidRDefault="00000000" w:rsidRPr="00000000" w14:paraId="0000000E">
      <w:pPr>
        <w:jc w:val="both"/>
        <w:rPr>
          <w:rFonts w:ascii="Montserrat" w:cs="Montserrat" w:eastAsia="Montserrat" w:hAnsi="Montserrat"/>
          <w:i w:val="1"/>
          <w:sz w:val="18"/>
          <w:szCs w:val="18"/>
        </w:rPr>
      </w:pPr>
      <w:r w:rsidDel="00000000" w:rsidR="00000000" w:rsidRPr="00000000">
        <w:rPr>
          <w:rFonts w:ascii="Montserrat" w:cs="Montserrat" w:eastAsia="Montserrat" w:hAnsi="Montserrat"/>
          <w:i w:val="1"/>
          <w:sz w:val="18"/>
          <w:szCs w:val="18"/>
          <w:rtl w:val="0"/>
        </w:rPr>
        <w:t xml:space="preserve">Under Armour es una marca global líder en innovación deportiva, dedicada a crear productos de rendimiento que mejoren la experiencia de los atletas en todo el mundo. Fundada en 1996 en Baltimore, Maryland, la compañía ha sido pionera en el desarrollo de tecnologías avanzadas para ropa, calzado y accesorios. En particular, su línea de calzado deportivo para fútbol incorpora tecnologías de vanguardia, diseñadas para ofrecer un ajuste superior, soporte de alto rendimiento y una tracción excepcional en el campo. Estos avances permiten a los futbolistas maximizar su agilidad y velocidad, brindándoles la confianza para rendir al más alto nivel.</w:t>
      </w:r>
    </w:p>
    <w:p w:rsidR="00000000" w:rsidDel="00000000" w:rsidP="00000000" w:rsidRDefault="00000000" w:rsidRPr="00000000" w14:paraId="0000000F">
      <w:pPr>
        <w:spacing w:after="240" w:before="240" w:lineRule="auto"/>
        <w:jc w:val="both"/>
        <w:rPr>
          <w:rFonts w:ascii="Montserrat" w:cs="Montserrat" w:eastAsia="Montserrat" w:hAnsi="Montserrat"/>
          <w:sz w:val="18"/>
          <w:szCs w:val="18"/>
        </w:rPr>
      </w:pPr>
      <w:r w:rsidDel="00000000" w:rsidR="00000000" w:rsidRPr="00000000">
        <w:rPr>
          <w:rFonts w:ascii="Montserrat" w:cs="Montserrat" w:eastAsia="Montserrat" w:hAnsi="Montserrat"/>
          <w:i w:val="1"/>
          <w:sz w:val="18"/>
          <w:szCs w:val="18"/>
          <w:rtl w:val="0"/>
        </w:rPr>
        <w:t xml:space="preserve">Más información en</w:t>
      </w:r>
      <w:hyperlink r:id="rId12">
        <w:r w:rsidDel="00000000" w:rsidR="00000000" w:rsidRPr="00000000">
          <w:rPr>
            <w:rFonts w:ascii="Montserrat" w:cs="Montserrat" w:eastAsia="Montserrat" w:hAnsi="Montserrat"/>
            <w:i w:val="1"/>
            <w:sz w:val="18"/>
            <w:szCs w:val="18"/>
            <w:rtl w:val="0"/>
          </w:rPr>
          <w:t xml:space="preserve"> </w:t>
        </w:r>
      </w:hyperlink>
      <w:hyperlink r:id="rId13">
        <w:r w:rsidDel="00000000" w:rsidR="00000000" w:rsidRPr="00000000">
          <w:rPr>
            <w:rFonts w:ascii="Montserrat" w:cs="Montserrat" w:eastAsia="Montserrat" w:hAnsi="Montserrat"/>
            <w:i w:val="1"/>
            <w:color w:val="1155cc"/>
            <w:sz w:val="18"/>
            <w:szCs w:val="18"/>
            <w:u w:val="single"/>
            <w:rtl w:val="0"/>
          </w:rPr>
          <w:t xml:space="preserve">www.underarmour.com.mx</w:t>
        </w:r>
      </w:hyperlink>
      <w:r w:rsidDel="00000000" w:rsidR="00000000" w:rsidRPr="00000000">
        <w:rPr>
          <w:rtl w:val="0"/>
        </w:rPr>
      </w:r>
    </w:p>
    <w:sectPr>
      <w:headerReference r:id="rId14" w:type="default"/>
      <w:pgSz w:h="16834" w:w="11909"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Montserrat">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10">
    <w:pPr>
      <w:spacing w:after="240" w:before="240" w:lineRule="auto"/>
      <w:rPr/>
    </w:pPr>
    <w:r w:rsidDel="00000000" w:rsidR="00000000" w:rsidRPr="00000000">
      <w:rPr/>
      <w:drawing>
        <wp:inline distB="114300" distT="114300" distL="114300" distR="114300">
          <wp:extent cx="5538788" cy="736051"/>
          <wp:effectExtent b="0" l="0" r="0" t="0"/>
          <wp:docPr id="1"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5538788" cy="736051"/>
                  </a:xfrm>
                  <a:prstGeom prst="rect"/>
                  <a:ln/>
                </pic:spPr>
              </pic:pic>
            </a:graphicData>
          </a:graphic>
        </wp:inline>
      </w:drawing>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es"/>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1" Type="http://schemas.openxmlformats.org/officeDocument/2006/relationships/image" Target="media/image3.jpg"/><Relationship Id="rId10" Type="http://schemas.openxmlformats.org/officeDocument/2006/relationships/image" Target="media/image2.jpg"/><Relationship Id="rId13" Type="http://schemas.openxmlformats.org/officeDocument/2006/relationships/hyperlink" Target="http://www.underarmour.com.mx" TargetMode="External"/><Relationship Id="rId12" Type="http://schemas.openxmlformats.org/officeDocument/2006/relationships/hyperlink" Target="http://www.underarmour.com"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5.jpg"/><Relationship Id="rId14" Type="http://schemas.openxmlformats.org/officeDocument/2006/relationships/header" Target="header1.xml"/><Relationship Id="rId5" Type="http://schemas.openxmlformats.org/officeDocument/2006/relationships/styles" Target="styles.xml"/><Relationship Id="rId6" Type="http://schemas.openxmlformats.org/officeDocument/2006/relationships/image" Target="media/image7.jpg"/><Relationship Id="rId7" Type="http://schemas.openxmlformats.org/officeDocument/2006/relationships/image" Target="media/image4.jpg"/><Relationship Id="rId8" Type="http://schemas.openxmlformats.org/officeDocument/2006/relationships/image" Target="media/image6.jpg"/></Relationships>
</file>

<file path=word/_rels/fontTable.xml.rels><?xml version="1.0" encoding="UTF-8" standalone="yes"?><Relationships xmlns="http://schemas.openxmlformats.org/package/2006/relationships"><Relationship Id="rId1" Type="http://schemas.openxmlformats.org/officeDocument/2006/relationships/font" Target="fonts/Montserrat-regular.ttf"/><Relationship Id="rId2" Type="http://schemas.openxmlformats.org/officeDocument/2006/relationships/font" Target="fonts/Montserrat-bold.ttf"/><Relationship Id="rId3" Type="http://schemas.openxmlformats.org/officeDocument/2006/relationships/font" Target="fonts/Montserrat-italic.ttf"/><Relationship Id="rId4" Type="http://schemas.openxmlformats.org/officeDocument/2006/relationships/font" Target="fonts/Montserrat-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